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华文中宋" w:hAnsi="华文中宋" w:eastAsia="华文中宋" w:cs="华文中宋"/>
          <w:b w:val="0"/>
          <w:bCs w:val="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 w:val="0"/>
          <w:kern w:val="0"/>
          <w:sz w:val="36"/>
          <w:szCs w:val="36"/>
        </w:rPr>
        <w:t>攀岩场所体育设施符合相关国家标准的说明性材料</w:t>
      </w:r>
    </w:p>
    <w:p>
      <w:pPr>
        <w:widowControl/>
        <w:jc w:val="center"/>
        <w:rPr>
          <w:rFonts w:hint="eastAsia" w:ascii="华文中宋" w:hAnsi="华文中宋" w:eastAsia="华文中宋" w:cs="华文中宋"/>
          <w:b w:val="0"/>
          <w:bCs w:val="0"/>
          <w:kern w:val="0"/>
          <w:sz w:val="36"/>
          <w:szCs w:val="36"/>
        </w:rPr>
      </w:pPr>
    </w:p>
    <w:p>
      <w:pPr>
        <w:widowControl/>
        <w:spacing w:line="300" w:lineRule="atLeast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攀岩场所名称：               地址：</w:t>
      </w:r>
    </w:p>
    <w:p>
      <w:pPr>
        <w:widowControl/>
        <w:spacing w:line="300" w:lineRule="atLeast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</w:p>
    <w:p>
      <w:pPr>
        <w:widowControl/>
        <w:spacing w:line="300" w:lineRule="atLeast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攀岩场所尺寸及面积：</w:t>
      </w:r>
    </w:p>
    <w:tbl>
      <w:tblPr>
        <w:tblStyle w:val="3"/>
        <w:tblW w:w="8280" w:type="dxa"/>
        <w:jc w:val="center"/>
        <w:tblCellSpacing w:w="0" w:type="dxa"/>
        <w:tblInd w:w="245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6812"/>
        <w:gridCol w:w="9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tblCellSpacing w:w="0" w:type="dxa"/>
          <w:jc w:val="center"/>
        </w:trPr>
        <w:tc>
          <w:tcPr>
            <w:tcW w:w="5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场所</w:t>
            </w: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主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要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内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容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是否合格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人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工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岩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壁</w:t>
            </w: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每条攀登路线的宽度不小于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1.8米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每个顶端保护系统承载力不小于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每个保护挂片与结构直接链接，承载力不小于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岩板耐受静载荷不小于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4kN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岩板耐受动载荷不小于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6kN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支点孔抗拉力不小于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3kN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保护绳使用登山动力绳，并符合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GB/T23268.1的要求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安全带、头盔、铁锁、静力绳、扁带、挂片、膨胀钉、快挂、上升器、下降器、制动保护器等装备有产品质量检验合格证明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有清晰、醒目的危险区域警示标志和安全防护设施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有通讯设备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在醒目位置悬挂社会体育指导员（攀岩）姓名、照片、职业资格证书编号等信息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在醒目位置悬挂“攀岩人员须知”及安全警示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自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然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岩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壁</w:t>
            </w: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每个固定的顶端保护系统承载力不小于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每个固定的保护挂片承载力不小于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保护绳使用登山动力绳，并符合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GB/T23268.1的要求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安全带、头盔、铁锁、静力绳、扁带、挂片、膨胀钉、快挂、上升器、下降器、制动保护器等装备有产品质量检验合格证明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有清晰、醒目的危险区域警示标志和安全防护设施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有通讯设备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在醒目位置悬挂社会体育指导员（攀岩）姓名、照片、职业资格证书编号等信息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在醒目位置悬挂“攀岩人员须知”及安全警示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 </w:t>
            </w:r>
          </w:p>
        </w:tc>
      </w:tr>
    </w:tbl>
    <w:p>
      <w:pPr>
        <w:widowControl/>
        <w:spacing w:line="300" w:lineRule="atLeast"/>
        <w:ind w:right="280" w:firstLine="207" w:firstLineChars="99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 xml:space="preserve">检查人：           </w:t>
      </w:r>
    </w:p>
    <w:p>
      <w:pPr>
        <w:widowControl/>
        <w:spacing w:line="300" w:lineRule="atLeast"/>
        <w:ind w:right="280" w:firstLine="207" w:firstLineChars="99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</w:p>
    <w:p>
      <w:pPr>
        <w:widowControl/>
        <w:spacing w:line="300" w:lineRule="atLeast"/>
        <w:ind w:right="280" w:firstLine="207" w:firstLineChars="9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检查单位（盖章）：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46296"/>
    <w:rsid w:val="44A462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2017-10-16T01:47:00Z</dcterms:created>
  <dc:creator>a</dc:creator>
  <cp:lastModifiedBy>a</cp:lastModifiedBy>
  <dcterms:modified xsi:type="dcterms:W3CDTF">2017-10-16T01:59:11Z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